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4472940</wp:posOffset>
                </wp:positionH>
                <wp:positionV relativeFrom="paragraph">
                  <wp:posOffset>6985</wp:posOffset>
                </wp:positionV>
                <wp:extent cx="1225550" cy="4000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3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drawing>
          <wp:inline>
            <wp:extent cx="571500" cy="7239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«НИЖНЕПОПОВСКОЕ СЕЛЬСКОЕ ПОСЕЛЕНИЕ»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НИЖНЕПОПОВСКОГО СЕЛЬСКОГО ПОСЕЛЕНИЯ</w:t>
      </w:r>
    </w:p>
    <w:p w14:paraId="0A000000">
      <w:pPr>
        <w:widowControl w:val="0"/>
        <w:ind/>
        <w:jc w:val="center"/>
        <w:rPr>
          <w:sz w:val="28"/>
        </w:rPr>
      </w:pPr>
    </w:p>
    <w:p w14:paraId="0B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от __</w:t>
      </w:r>
      <w:r>
        <w:rPr>
          <w:sz w:val="28"/>
        </w:rPr>
        <w:t>_._</w:t>
      </w:r>
      <w:r>
        <w:rPr>
          <w:sz w:val="28"/>
        </w:rPr>
        <w:t>___.2026  № _____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х. </w:t>
      </w:r>
      <w:r>
        <w:rPr>
          <w:sz w:val="28"/>
        </w:rPr>
        <w:t>Нижнепопов</w:t>
      </w:r>
    </w:p>
    <w:p w14:paraId="0E000000">
      <w:pPr>
        <w:widowControl w:val="1"/>
        <w:ind w:firstLine="709"/>
        <w:rPr>
          <w:sz w:val="28"/>
        </w:rPr>
      </w:pPr>
    </w:p>
    <w:p w14:paraId="0F000000">
      <w:pPr>
        <w:widowControl w:val="1"/>
        <w:spacing w:after="108" w:before="108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 xml:space="preserve">Плана мероприятий </w:t>
      </w:r>
      <w:r>
        <w:rPr>
          <w:b w:val="1"/>
          <w:sz w:val="28"/>
        </w:rPr>
        <w:t xml:space="preserve">по профилактике </w:t>
      </w:r>
      <w:r>
        <w:rPr>
          <w:b w:val="1"/>
          <w:sz w:val="28"/>
        </w:rPr>
        <w:t>терроризма и экстремизма в Нижнепоповском сельском поселении на 2026-2036 годы</w:t>
      </w:r>
    </w:p>
    <w:p w14:paraId="10000000">
      <w:pPr>
        <w:widowControl w:val="1"/>
        <w:spacing w:line="240" w:lineRule="auto"/>
        <w:ind w:firstLine="567"/>
        <w:jc w:val="both"/>
        <w:rPr>
          <w:b w:val="1"/>
          <w:spacing w:val="24"/>
          <w:sz w:val="28"/>
        </w:rPr>
      </w:pPr>
      <w:r>
        <w:rPr>
          <w:sz w:val="28"/>
        </w:rPr>
        <w:t>В соответствии с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Уставом муниципального образования «Нижнепоповское сельское поселение» Белокалитвинского района Ростовской области, А</w:t>
      </w:r>
      <w:r>
        <w:rPr>
          <w:sz w:val="28"/>
        </w:rPr>
        <w:t xml:space="preserve">дминистрация Нижнепоповского сельского поселения,  </w:t>
      </w:r>
      <w:r>
        <w:rPr>
          <w:sz w:val="28"/>
        </w:rPr>
        <w:t xml:space="preserve"> </w:t>
      </w:r>
      <w:r>
        <w:rPr>
          <w:b w:val="1"/>
          <w:spacing w:val="24"/>
          <w:sz w:val="28"/>
        </w:rPr>
        <w:t>постановляет:</w:t>
      </w:r>
    </w:p>
    <w:p w14:paraId="11000000">
      <w:pPr>
        <w:widowControl w:val="1"/>
        <w:spacing w:after="108" w:before="108" w:line="240" w:lineRule="auto"/>
        <w:ind/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1. Утвердить План</w:t>
      </w:r>
      <w:r>
        <w:rPr>
          <w:sz w:val="28"/>
        </w:rPr>
        <w:t xml:space="preserve"> мероприятий </w:t>
      </w:r>
      <w:r>
        <w:rPr>
          <w:sz w:val="28"/>
        </w:rPr>
        <w:t>по профилактике</w:t>
      </w:r>
      <w:r>
        <w:rPr>
          <w:sz w:val="28"/>
        </w:rPr>
        <w:t xml:space="preserve"> терроризма и экстремизма в Нижнепоповском сельском поселении на 2026-2036 годы</w:t>
      </w:r>
      <w:r>
        <w:rPr>
          <w:sz w:val="28"/>
        </w:rPr>
        <w:t xml:space="preserve"> согласно приложению к настоящему постановлению</w:t>
      </w:r>
      <w:r>
        <w:rPr>
          <w:sz w:val="28"/>
        </w:rPr>
        <w:t>.</w:t>
      </w:r>
    </w:p>
    <w:p w14:paraId="12000000">
      <w:pPr>
        <w:widowControl w:val="1"/>
        <w:spacing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после опубликования </w:t>
      </w:r>
      <w:r>
        <w:rPr>
          <w:rFonts w:ascii="Times New Roman" w:hAnsi="Times New Roman"/>
          <w:sz w:val="28"/>
        </w:rPr>
        <w:t xml:space="preserve">в сетевом издании «Официальный сайт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Белокалитвинского района Ростовской области» (http://npadm.ru/, регистрация в качестве сетевого издания Эл № ФС 77 - 89099 от 03.02.2025)</w:t>
      </w:r>
      <w:r>
        <w:rPr>
          <w:sz w:val="28"/>
        </w:rPr>
        <w:t>.</w:t>
      </w:r>
    </w:p>
    <w:p w14:paraId="13000000">
      <w:pPr>
        <w:widowControl w:val="1"/>
        <w:spacing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Контроль за</w:t>
      </w:r>
      <w:r>
        <w:rPr>
          <w:sz w:val="28"/>
        </w:rPr>
        <w:t xml:space="preserve"> выполнением постановления оставляю за собой.</w:t>
      </w:r>
    </w:p>
    <w:p w14:paraId="14000000">
      <w:pPr>
        <w:widowControl w:val="1"/>
        <w:ind/>
        <w:jc w:val="both"/>
        <w:rPr>
          <w:b w:val="1"/>
          <w:sz w:val="28"/>
        </w:rPr>
      </w:pPr>
    </w:p>
    <w:p w14:paraId="15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>Глава Администрации</w:t>
      </w:r>
    </w:p>
    <w:p w14:paraId="16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>Нижнепоповского сельского поселения                                 А.М. Кнурев</w:t>
      </w:r>
    </w:p>
    <w:p w14:paraId="17000000">
      <w:pPr>
        <w:widowControl w:val="1"/>
        <w:spacing w:line="192" w:lineRule="auto"/>
        <w:ind/>
        <w:jc w:val="both"/>
        <w:rPr>
          <w:b w:val="1"/>
          <w:sz w:val="24"/>
        </w:rPr>
      </w:pPr>
      <w:r>
        <w:rPr>
          <w:sz w:val="24"/>
        </w:rPr>
        <w:t xml:space="preserve"> </w:t>
      </w:r>
    </w:p>
    <w:p w14:paraId="18000000">
      <w:pPr>
        <w:widowControl w:val="1"/>
        <w:spacing w:line="192" w:lineRule="auto"/>
        <w:ind/>
        <w:jc w:val="both"/>
        <w:rPr>
          <w:b w:val="1"/>
          <w:sz w:val="24"/>
        </w:rPr>
      </w:pPr>
      <w:r>
        <w:rPr>
          <w:sz w:val="24"/>
        </w:rPr>
        <w:t>Проект подготовил</w:t>
      </w:r>
    </w:p>
    <w:p w14:paraId="19000000">
      <w:pPr>
        <w:widowControl w:val="1"/>
        <w:spacing w:after="200" w:line="192" w:lineRule="auto"/>
        <w:ind/>
        <w:contextualSpacing w:val="1"/>
        <w:jc w:val="both"/>
        <w:rPr>
          <w:sz w:val="24"/>
        </w:rPr>
      </w:pPr>
      <w:r>
        <w:rPr>
          <w:sz w:val="24"/>
        </w:rPr>
        <w:t>Заведующий сектором по общим,</w:t>
      </w:r>
    </w:p>
    <w:p w14:paraId="1A000000">
      <w:pPr>
        <w:widowControl w:val="1"/>
        <w:spacing w:after="200" w:line="192" w:lineRule="auto"/>
        <w:ind/>
        <w:contextualSpacing w:val="1"/>
        <w:jc w:val="both"/>
        <w:rPr>
          <w:sz w:val="24"/>
        </w:rPr>
      </w:pPr>
      <w:r>
        <w:rPr>
          <w:sz w:val="24"/>
        </w:rPr>
        <w:t xml:space="preserve">кадровым и земельным вопросам                                                              </w:t>
      </w:r>
      <w:r>
        <w:rPr>
          <w:sz w:val="24"/>
        </w:rPr>
        <w:t xml:space="preserve"> </w:t>
      </w:r>
      <w:r>
        <w:rPr>
          <w:sz w:val="24"/>
        </w:rPr>
        <w:t>Ю.А. Попова</w:t>
      </w:r>
    </w:p>
    <w:tbl>
      <w:tblPr>
        <w:tblStyle w:val="Style_2"/>
        <w:tblpPr w:bottomFromText="0" w:horzAnchor="text" w:leftFromText="180" w:rightFromText="180" w:tblpX="-74" w:tblpY="3612" w:topFromText="0" w:vertAnchor="page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4"/>
        <w:gridCol w:w="5070"/>
        <w:gridCol w:w="1995"/>
        <w:gridCol w:w="1515"/>
      </w:tblGrid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/>
              <w:jc w:val="center"/>
            </w:pPr>
            <w:r>
              <w:t>№</w:t>
            </w:r>
          </w:p>
          <w:p w14:paraId="1C000000">
            <w:pPr>
              <w:widowControl w:val="1"/>
              <w:ind/>
              <w:jc w:val="center"/>
            </w:pPr>
            <w:r>
              <w:t>п</w:t>
            </w:r>
            <w:r>
              <w:t>/п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/>
              <w:jc w:val="center"/>
            </w:pPr>
            <w:r>
              <w:t>Наименование мероприятия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ind/>
              <w:jc w:val="center"/>
            </w:pPr>
            <w:r>
              <w:t>Исполнители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ind/>
              <w:jc w:val="center"/>
            </w:pPr>
            <w:r>
              <w:t>Срок исполнения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ind/>
              <w:jc w:val="center"/>
            </w:pPr>
            <w:r>
              <w:t>4</w:t>
            </w:r>
          </w:p>
        </w:tc>
      </w:tr>
      <w:tr>
        <w:trPr>
          <w:trHeight w:hRule="atLeast" w:val="550"/>
        </w:trPr>
        <w:tc>
          <w:tcPr>
            <w:tcW w:type="dxa" w:w="92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ind/>
              <w:jc w:val="center"/>
            </w:pPr>
            <w:r>
              <w:rPr>
                <w:b w:val="1"/>
              </w:rPr>
              <w:t>I. Профилактика и предупреждение террористических и экстремистских проявлений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ind/>
              <w:jc w:val="both"/>
            </w:pPr>
            <w:r>
              <w:t>информирование правоохранительных органов о фактах нахождения (проживания) подозрительных лиц, а также предметов и вещей в заброшенных зданиях и помещениях на территории муниципального образования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ind/>
              <w:jc w:val="both"/>
            </w:pPr>
            <w:r>
              <w:t>осуществление комплекса мер по обеспечению правопорядка и общественной безопасности в период проведения массовых, праздничных мероприятий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  <w:p w14:paraId="2C000000">
            <w:pPr>
              <w:widowControl w:val="1"/>
              <w:ind/>
              <w:jc w:val="both"/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ind/>
              <w:jc w:val="both"/>
            </w:pPr>
            <w:r>
              <w:t>проведение совместных учений по отработке практических навыков в условиях проведения антитеррористических операций, учебно-тренировочные занятия по отработке взаимодействия при возникновении чрезвычайных ситуаций на объектах и обслуживаемых территориях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  <w:p w14:paraId="31000000">
            <w:pPr>
              <w:widowControl w:val="1"/>
              <w:ind/>
              <w:jc w:val="both"/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jc w:val="both"/>
            </w:pPr>
            <w:r>
              <w:t>обеспечение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  <w:p w14:paraId="36000000">
            <w:pPr>
              <w:widowControl w:val="1"/>
              <w:ind/>
              <w:jc w:val="both"/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ind/>
              <w:jc w:val="both"/>
            </w:pPr>
            <w:r>
              <w:t xml:space="preserve">организация выполнения решений Национального антитеррористического комитета и Антитеррористической комиссии </w:t>
            </w:r>
            <w:r>
              <w:t>Ростовской области</w:t>
            </w:r>
            <w:r>
              <w:t xml:space="preserve"> в части, касающейся сельского поселения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  <w:p w14:paraId="3B000000">
            <w:pPr>
              <w:widowControl w:val="1"/>
              <w:ind/>
              <w:jc w:val="both"/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ind/>
              <w:jc w:val="both"/>
            </w:pPr>
            <w:r>
              <w:t>обследование учреждений с массовым пребыванием людей в целях предотвращения террористических актов, возможности проникновения посторонних лиц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  <w:p w14:paraId="40000000">
            <w:pPr>
              <w:widowControl w:val="1"/>
              <w:ind/>
              <w:jc w:val="both"/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ind/>
              <w:jc w:val="both"/>
            </w:pPr>
            <w:r>
              <w:t xml:space="preserve">информирование правоохранительных </w:t>
            </w:r>
            <w:r>
              <w:t>органов о транспортных средствах, припаркованных вблизи мест массового пребывания граждан (культурно-зрелищные учреждения, больницы, школы, детские дошкольные учреждения, жилой сектор), вызывающих подозрение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  <w:p w14:paraId="45000000">
            <w:pPr>
              <w:widowControl w:val="1"/>
              <w:ind/>
              <w:jc w:val="both"/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/>
              <w:jc w:val="both"/>
            </w:pPr>
            <w:r>
              <w:t>проведение профилактической работы с населением по недопущению незаконного хранения огнестрельного оружия, боеприпасов и взрывчатых веществ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both"/>
            </w:pPr>
            <w:r>
              <w:t>осуществление взаимодействия с общественными, религиозными и молодежными организациями с целью недопущения экстремистских действий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660"/>
        </w:trPr>
        <w:tc>
          <w:tcPr>
            <w:tcW w:type="dxa" w:w="92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ind/>
              <w:jc w:val="both"/>
            </w:pPr>
            <w:r>
              <w:rPr>
                <w:b w:val="1"/>
              </w:rPr>
              <w:t>II. Информационно-пропагандистское сопровождение антитеррористической деятельности и информационное противодействие терроризму и экстремизму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both"/>
            </w:pPr>
            <w:r>
              <w:t>организация информирования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both"/>
            </w:pPr>
            <w:r>
              <w:t>проведение информационно-пропагандистских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  <w:p w14:paraId="57000000">
            <w:pPr>
              <w:widowControl w:val="1"/>
              <w:ind/>
              <w:jc w:val="both"/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both"/>
            </w:pPr>
            <w:r>
              <w:t>организация информационно-пропагандистского сопровождения основных мероприятий в средствах массовой информации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both"/>
            </w:pPr>
            <w:r>
              <w:t>размещение информационных сообщений и материалов антитеррористического характера на официальном сайте Администрации муниципального образования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  <w:p w14:paraId="60000000">
            <w:pPr>
              <w:widowControl w:val="1"/>
              <w:ind/>
              <w:jc w:val="both"/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both"/>
            </w:pPr>
            <w:r>
              <w:t>усиление взаимодействия с представителями религиозных конфессий для противодействия возникновению движений и организаций экстремистской направленности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  <w:p w14:paraId="65000000">
            <w:pPr>
              <w:widowControl w:val="1"/>
              <w:ind/>
              <w:jc w:val="both"/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/>
              <w:jc w:val="both"/>
            </w:pPr>
            <w:r>
              <w:t>рассмотрение вопросов наличия государственной регистрации местных религиозных организаций, полномочия их руководителей, правоустанавливающих документов на культовые сооружения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/>
              <w:jc w:val="both"/>
            </w:pPr>
            <w:r>
              <w:t>Администрация, сектор муниципального хозяйства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/>
              <w:jc w:val="both"/>
            </w:pPr>
            <w:r>
              <w:t>постоянно</w:t>
            </w:r>
          </w:p>
        </w:tc>
      </w:tr>
    </w:tbl>
    <w:p w14:paraId="6B000000">
      <w:pPr>
        <w:widowControl w:val="1"/>
        <w:ind/>
        <w:jc w:val="both"/>
        <w:rPr>
          <w:sz w:val="28"/>
        </w:rPr>
      </w:pPr>
    </w:p>
    <w:p w14:paraId="6C000000">
      <w:pPr>
        <w:widowControl w:val="1"/>
        <w:ind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6D000000">
      <w:pPr>
        <w:widowControl w:val="1"/>
        <w:ind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14:paraId="6E000000">
      <w:pPr>
        <w:widowControl w:val="1"/>
        <w:ind/>
        <w:jc w:val="right"/>
        <w:rPr>
          <w:sz w:val="28"/>
        </w:rPr>
      </w:pPr>
      <w:r>
        <w:rPr>
          <w:sz w:val="28"/>
        </w:rPr>
        <w:t>Нижнепоповского сельского поселения</w:t>
      </w:r>
    </w:p>
    <w:p w14:paraId="6F000000">
      <w:pPr>
        <w:widowControl w:val="1"/>
        <w:ind/>
        <w:jc w:val="right"/>
        <w:rPr>
          <w:sz w:val="28"/>
        </w:rPr>
      </w:pPr>
      <w:r>
        <w:rPr>
          <w:sz w:val="28"/>
        </w:rPr>
        <w:t>от ____________ № ______</w:t>
      </w:r>
    </w:p>
    <w:p w14:paraId="70000000">
      <w:pPr>
        <w:widowControl w:val="1"/>
        <w:ind/>
        <w:jc w:val="both"/>
        <w:rPr>
          <w:sz w:val="28"/>
        </w:rPr>
      </w:pPr>
    </w:p>
    <w:p w14:paraId="71000000">
      <w:pPr>
        <w:widowControl w:val="1"/>
        <w:ind/>
        <w:jc w:val="center"/>
        <w:rPr>
          <w:sz w:val="28"/>
        </w:rPr>
      </w:pPr>
      <w:r>
        <w:rPr>
          <w:sz w:val="28"/>
        </w:rPr>
        <w:t>План</w:t>
      </w:r>
    </w:p>
    <w:p w14:paraId="72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мероприятий </w:t>
      </w:r>
      <w:r>
        <w:rPr>
          <w:sz w:val="28"/>
        </w:rPr>
        <w:t xml:space="preserve">по профилактике </w:t>
      </w:r>
      <w:r>
        <w:rPr>
          <w:sz w:val="28"/>
        </w:rPr>
        <w:t xml:space="preserve">терроризма и экстремизма в Нижнепоповском сельском поселении на 2026-2036 годы </w:t>
      </w:r>
    </w:p>
    <w:p w14:paraId="73000000">
      <w:pPr>
        <w:widowControl w:val="1"/>
        <w:ind/>
        <w:jc w:val="both"/>
      </w:pPr>
    </w:p>
    <w:p w14:paraId="74000000">
      <w:pPr>
        <w:widowControl w:val="1"/>
        <w:ind/>
        <w:jc w:val="both"/>
      </w:pPr>
    </w:p>
    <w:p w14:paraId="75000000">
      <w:pPr>
        <w:widowControl w:val="1"/>
        <w:ind/>
        <w:jc w:val="both"/>
      </w:pPr>
    </w:p>
    <w:p w14:paraId="76000000">
      <w:pPr>
        <w:widowControl w:val="1"/>
        <w:ind/>
        <w:jc w:val="both"/>
      </w:pPr>
    </w:p>
    <w:sectPr>
      <w:pgSz w:h="16848" w:orient="portrait" w:w="11908"/>
      <w:pgMar w:bottom="567" w:footer="709" w:gutter="0" w:header="709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annotation subject"/>
    <w:basedOn w:val="Style_8"/>
    <w:next w:val="Style_8"/>
    <w:link w:val="Style_7_ch"/>
    <w:rPr>
      <w:b w:val="1"/>
    </w:rPr>
  </w:style>
  <w:style w:styleId="Style_7_ch" w:type="character">
    <w:name w:val="annotation subject"/>
    <w:basedOn w:val="Style_8_ch"/>
    <w:link w:val="Style_7"/>
    <w:rPr>
      <w:b w:val="1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1"/>
    <w:link w:val="Style_11_ch"/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ConsPlusNormal"/>
    <w:link w:val="Style_1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2_ch" w:type="character">
    <w:name w:val="ConsPlusNormal"/>
    <w:link w:val="Style_12"/>
    <w:rPr>
      <w:rFonts w:ascii="Times New Roman" w:hAnsi="Times New Roman"/>
      <w:sz w:val="24"/>
    </w:rPr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1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8" w:type="paragraph">
    <w:name w:val="annotation text"/>
    <w:basedOn w:val="Style_1"/>
    <w:link w:val="Style_8_ch"/>
    <w:rPr>
      <w:sz w:val="20"/>
    </w:rPr>
  </w:style>
  <w:style w:styleId="Style_8_ch" w:type="character">
    <w:name w:val="annotation text"/>
    <w:basedOn w:val="Style_1_ch"/>
    <w:link w:val="Style_8"/>
    <w:rPr>
      <w:sz w:val="20"/>
    </w:rPr>
  </w:style>
  <w:style w:styleId="Style_16" w:type="paragraph">
    <w:name w:val="List Paragraph"/>
    <w:basedOn w:val="Style_1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7" w:type="paragraph">
    <w:name w:val="heading 5"/>
    <w:next w:val="Style_1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1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1"/>
    <w:link w:val="Style_20_ch"/>
    <w:rPr>
      <w:sz w:val="20"/>
    </w:rPr>
  </w:style>
  <w:style w:styleId="Style_20_ch" w:type="character">
    <w:name w:val="Footnote"/>
    <w:basedOn w:val="Style_1_ch"/>
    <w:link w:val="Style_20"/>
    <w:rPr>
      <w:sz w:val="20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annotation reference"/>
    <w:basedOn w:val="Style_14"/>
    <w:link w:val="Style_23_ch"/>
    <w:rPr>
      <w:sz w:val="16"/>
    </w:rPr>
  </w:style>
  <w:style w:styleId="Style_23_ch" w:type="character">
    <w:name w:val="annotation reference"/>
    <w:basedOn w:val="Style_14_ch"/>
    <w:link w:val="Style_23"/>
    <w:rPr>
      <w:sz w:val="16"/>
    </w:rPr>
  </w:style>
  <w:style w:styleId="Style_24" w:type="paragraph">
    <w:name w:val="toc 9"/>
    <w:next w:val="Style_1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1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1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1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basedOn w:val="Style_1"/>
    <w:link w:val="Style_30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30_ch" w:type="character">
    <w:name w:val="heading 2"/>
    <w:basedOn w:val="Style_1_ch"/>
    <w:link w:val="Style_30"/>
    <w:rPr>
      <w:b w:val="1"/>
      <w:sz w:val="3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2026-02-09T09:18:57Z</dcterms:created>
  <dcterms:modified xsi:type="dcterms:W3CDTF">2026-02-09T11:23:31Z</dcterms:modified>
</cp:coreProperties>
</file>